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3B" w:rsidRPr="00C67B5B" w:rsidRDefault="0090133B" w:rsidP="00E853B5">
      <w:pPr>
        <w:jc w:val="center"/>
        <w:rPr>
          <w:rFonts w:ascii="Cambria" w:hAnsi="Cambria"/>
          <w:sz w:val="72"/>
          <w:szCs w:val="120"/>
        </w:rPr>
      </w:pPr>
      <w:r w:rsidRPr="00C67B5B">
        <w:rPr>
          <w:rFonts w:ascii="Cambria" w:hAnsi="Cambria"/>
          <w:sz w:val="72"/>
          <w:szCs w:val="120"/>
        </w:rPr>
        <w:t>THINKING LIKE AN ARTIST</w:t>
      </w:r>
    </w:p>
    <w:tbl>
      <w:tblPr>
        <w:tblStyle w:val="TableGrid"/>
        <w:tblpPr w:leftFromText="180" w:rightFromText="180" w:vertAnchor="page" w:horzAnchor="page" w:tblpX="1009" w:tblpY="2341"/>
        <w:tblW w:w="14223" w:type="dxa"/>
        <w:tblLook w:val="04A0" w:firstRow="1" w:lastRow="0" w:firstColumn="1" w:lastColumn="0" w:noHBand="0" w:noVBand="1"/>
      </w:tblPr>
      <w:tblGrid>
        <w:gridCol w:w="4741"/>
        <w:gridCol w:w="4741"/>
        <w:gridCol w:w="4741"/>
      </w:tblGrid>
      <w:tr w:rsidR="0090133B" w:rsidRPr="00B27605" w:rsidTr="0090133B">
        <w:trPr>
          <w:trHeight w:val="609"/>
        </w:trPr>
        <w:tc>
          <w:tcPr>
            <w:tcW w:w="4741" w:type="dxa"/>
          </w:tcPr>
          <w:p w:rsidR="00C443EA" w:rsidRPr="00B27605" w:rsidRDefault="00C443EA" w:rsidP="0090133B">
            <w:pPr>
              <w:jc w:val="both"/>
              <w:rPr>
                <w:b/>
              </w:rPr>
            </w:pPr>
          </w:p>
          <w:p w:rsidR="0090133B" w:rsidRPr="00B27605" w:rsidRDefault="0090133B" w:rsidP="0090133B">
            <w:pPr>
              <w:jc w:val="both"/>
              <w:rPr>
                <w:b/>
              </w:rPr>
            </w:pPr>
            <w:r w:rsidRPr="00B27605">
              <w:rPr>
                <w:b/>
              </w:rPr>
              <w:t>Behaviors------------------&gt; Dispositions</w:t>
            </w:r>
          </w:p>
        </w:tc>
        <w:tc>
          <w:tcPr>
            <w:tcW w:w="4741" w:type="dxa"/>
          </w:tcPr>
          <w:p w:rsidR="00C443EA" w:rsidRPr="00B27605" w:rsidRDefault="00C443EA" w:rsidP="0090133B">
            <w:pPr>
              <w:jc w:val="both"/>
              <w:rPr>
                <w:b/>
              </w:rPr>
            </w:pPr>
          </w:p>
          <w:p w:rsidR="0090133B" w:rsidRPr="00B27605" w:rsidRDefault="0090133B" w:rsidP="0090133B">
            <w:pPr>
              <w:jc w:val="both"/>
              <w:rPr>
                <w:b/>
              </w:rPr>
            </w:pPr>
            <w:r w:rsidRPr="00B27605">
              <w:rPr>
                <w:b/>
              </w:rPr>
              <w:t>What Does It Look Like?</w:t>
            </w:r>
          </w:p>
          <w:p w:rsidR="00C443EA" w:rsidRPr="00B27605" w:rsidRDefault="00C443EA" w:rsidP="0090133B">
            <w:pPr>
              <w:jc w:val="both"/>
              <w:rPr>
                <w:b/>
              </w:rPr>
            </w:pPr>
          </w:p>
          <w:p w:rsidR="00C443EA" w:rsidRPr="00B27605" w:rsidRDefault="00C443EA" w:rsidP="0090133B">
            <w:pPr>
              <w:jc w:val="both"/>
              <w:rPr>
                <w:b/>
              </w:rPr>
            </w:pPr>
          </w:p>
        </w:tc>
        <w:tc>
          <w:tcPr>
            <w:tcW w:w="4741" w:type="dxa"/>
          </w:tcPr>
          <w:p w:rsidR="00C443EA" w:rsidRPr="00B27605" w:rsidRDefault="00C443EA" w:rsidP="0090133B">
            <w:pPr>
              <w:jc w:val="both"/>
              <w:rPr>
                <w:b/>
              </w:rPr>
            </w:pPr>
          </w:p>
          <w:p w:rsidR="0090133B" w:rsidRPr="00B27605" w:rsidRDefault="0090133B" w:rsidP="0090133B">
            <w:pPr>
              <w:jc w:val="both"/>
              <w:rPr>
                <w:b/>
              </w:rPr>
            </w:pPr>
            <w:r w:rsidRPr="00B27605">
              <w:rPr>
                <w:b/>
              </w:rPr>
              <w:t>Your Evidence:</w:t>
            </w:r>
          </w:p>
        </w:tc>
      </w:tr>
      <w:tr w:rsidR="0090133B" w:rsidRPr="00B27605" w:rsidTr="0090133B">
        <w:trPr>
          <w:trHeight w:val="609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t>Reflection &amp; Revision</w:t>
            </w:r>
          </w:p>
        </w:tc>
        <w:tc>
          <w:tcPr>
            <w:tcW w:w="4741" w:type="dxa"/>
          </w:tcPr>
          <w:p w:rsidR="0090133B" w:rsidRPr="00B27605" w:rsidRDefault="0090133B" w:rsidP="0090133B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 xml:space="preserve">Taking time to engage in reflection of your process, decision making, and problem solving while thinking, participating, and/or making. Making revisions in response to self-, peer-, and teacher feedback. </w:t>
            </w:r>
          </w:p>
        </w:tc>
        <w:tc>
          <w:tcPr>
            <w:tcW w:w="4741" w:type="dxa"/>
          </w:tcPr>
          <w:p w:rsidR="0090133B" w:rsidRPr="00B27605" w:rsidRDefault="0090133B" w:rsidP="0090133B"/>
        </w:tc>
      </w:tr>
      <w:tr w:rsidR="0090133B" w:rsidRPr="00B27605" w:rsidTr="0090133B">
        <w:trPr>
          <w:trHeight w:val="609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t>Persistence Through Failure</w:t>
            </w:r>
          </w:p>
        </w:tc>
        <w:tc>
          <w:tcPr>
            <w:tcW w:w="4741" w:type="dxa"/>
          </w:tcPr>
          <w:p w:rsidR="0090133B" w:rsidRPr="00B27605" w:rsidRDefault="00970615" w:rsidP="00970615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>Valuing r</w:t>
            </w:r>
            <w:r w:rsidR="0090133B" w:rsidRPr="00B27605">
              <w:rPr>
                <w:rFonts w:asciiTheme="minorHAnsi" w:hAnsiTheme="minorHAnsi"/>
                <w:sz w:val="22"/>
                <w:szCs w:val="22"/>
              </w:rPr>
              <w:t xml:space="preserve">isk-taking and persistence. Reflecting on why something failed and what steps you can take to move toward success. Risk-taking and persistence. </w:t>
            </w:r>
          </w:p>
        </w:tc>
        <w:tc>
          <w:tcPr>
            <w:tcW w:w="4741" w:type="dxa"/>
          </w:tcPr>
          <w:p w:rsidR="0090133B" w:rsidRDefault="0090133B" w:rsidP="0090133B"/>
          <w:p w:rsidR="00B27605" w:rsidRDefault="00B27605" w:rsidP="0090133B"/>
          <w:p w:rsidR="00B27605" w:rsidRDefault="00B27605" w:rsidP="0090133B"/>
          <w:p w:rsidR="00B27605" w:rsidRPr="00B27605" w:rsidRDefault="00B27605" w:rsidP="0090133B"/>
        </w:tc>
      </w:tr>
      <w:tr w:rsidR="0090133B" w:rsidRPr="00B27605" w:rsidTr="0090133B">
        <w:trPr>
          <w:trHeight w:val="555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t>Tolerance for Ambiguity</w:t>
            </w:r>
          </w:p>
        </w:tc>
        <w:tc>
          <w:tcPr>
            <w:tcW w:w="4741" w:type="dxa"/>
          </w:tcPr>
          <w:p w:rsidR="0090133B" w:rsidRPr="00B27605" w:rsidRDefault="0090133B" w:rsidP="0090133B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 xml:space="preserve">Exploring and respectfully debating challenging issues. Open exploration of diverse perspectives and approaches. Being comfortable with not having one definite answer, outcome, or path to follow. </w:t>
            </w:r>
          </w:p>
        </w:tc>
        <w:tc>
          <w:tcPr>
            <w:tcW w:w="4741" w:type="dxa"/>
          </w:tcPr>
          <w:p w:rsidR="0090133B" w:rsidRDefault="0090133B" w:rsidP="0090133B"/>
          <w:p w:rsidR="00B27605" w:rsidRDefault="00B27605" w:rsidP="0090133B"/>
          <w:p w:rsidR="00B27605" w:rsidRDefault="00B27605" w:rsidP="0090133B"/>
          <w:p w:rsidR="00B27605" w:rsidRDefault="00B27605" w:rsidP="0090133B"/>
          <w:p w:rsidR="00B27605" w:rsidRPr="00B27605" w:rsidRDefault="00B27605" w:rsidP="0090133B"/>
        </w:tc>
      </w:tr>
      <w:tr w:rsidR="0090133B" w:rsidRPr="00B27605" w:rsidTr="0090133B">
        <w:trPr>
          <w:trHeight w:val="555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t>Curiosity</w:t>
            </w:r>
          </w:p>
        </w:tc>
        <w:tc>
          <w:tcPr>
            <w:tcW w:w="4741" w:type="dxa"/>
          </w:tcPr>
          <w:p w:rsidR="0090133B" w:rsidRPr="00B27605" w:rsidRDefault="0090133B" w:rsidP="0090133B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 xml:space="preserve">Noticing, making connections, researching and wondering. Pursuing interests and questions, even across different disciplines. Bringing in and displaying objects that spark interest (i.e. Contributing to the Wall of </w:t>
            </w:r>
            <w:proofErr w:type="spellStart"/>
            <w:r w:rsidRPr="00B27605">
              <w:rPr>
                <w:rFonts w:asciiTheme="minorHAnsi" w:hAnsiTheme="minorHAnsi"/>
                <w:sz w:val="22"/>
                <w:szCs w:val="22"/>
              </w:rPr>
              <w:t>Grabbiness</w:t>
            </w:r>
            <w:proofErr w:type="spellEnd"/>
            <w:r w:rsidRPr="00B2760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741" w:type="dxa"/>
          </w:tcPr>
          <w:p w:rsidR="0090133B" w:rsidRPr="00B27605" w:rsidRDefault="0090133B" w:rsidP="0090133B"/>
        </w:tc>
      </w:tr>
      <w:tr w:rsidR="0090133B" w:rsidRPr="00B27605" w:rsidTr="0090133B">
        <w:trPr>
          <w:trHeight w:val="609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t>Questioning Over Answering</w:t>
            </w:r>
          </w:p>
        </w:tc>
        <w:tc>
          <w:tcPr>
            <w:tcW w:w="4741" w:type="dxa"/>
          </w:tcPr>
          <w:p w:rsidR="0090133B" w:rsidRPr="00B27605" w:rsidRDefault="0090133B" w:rsidP="00C443EA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 xml:space="preserve">Formulating and exploring your own questions, even when they challenge classroom content or go beyond the content area. </w:t>
            </w:r>
            <w:r w:rsidR="00C443EA" w:rsidRPr="00B27605">
              <w:rPr>
                <w:rFonts w:asciiTheme="minorHAnsi" w:hAnsiTheme="minorHAnsi"/>
                <w:sz w:val="22"/>
                <w:szCs w:val="22"/>
              </w:rPr>
              <w:t>Q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>uestion</w:t>
            </w:r>
            <w:r w:rsidR="00C443EA" w:rsidRPr="00B27605">
              <w:rPr>
                <w:rFonts w:asciiTheme="minorHAnsi" w:hAnsiTheme="minorHAnsi"/>
                <w:sz w:val="22"/>
                <w:szCs w:val="22"/>
              </w:rPr>
              <w:t>ing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 xml:space="preserve"> assumptions. </w:t>
            </w:r>
            <w:r w:rsidR="00C443EA" w:rsidRPr="00B27605">
              <w:rPr>
                <w:rFonts w:asciiTheme="minorHAnsi" w:hAnsiTheme="minorHAnsi"/>
                <w:sz w:val="22"/>
                <w:szCs w:val="22"/>
              </w:rPr>
              <w:t xml:space="preserve">Recognizing that question 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 xml:space="preserve">generation </w:t>
            </w:r>
            <w:r w:rsidR="00C443EA" w:rsidRPr="00B27605">
              <w:rPr>
                <w:rFonts w:asciiTheme="minorHAnsi" w:hAnsiTheme="minorHAnsi"/>
                <w:sz w:val="22"/>
                <w:szCs w:val="22"/>
              </w:rPr>
              <w:t>is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 xml:space="preserve"> evidence of thinking. </w:t>
            </w:r>
          </w:p>
        </w:tc>
        <w:tc>
          <w:tcPr>
            <w:tcW w:w="4741" w:type="dxa"/>
          </w:tcPr>
          <w:p w:rsidR="0090133B" w:rsidRPr="00B27605" w:rsidRDefault="0090133B" w:rsidP="0090133B"/>
        </w:tc>
      </w:tr>
      <w:tr w:rsidR="0090133B" w:rsidRPr="00B27605" w:rsidTr="0090133B">
        <w:trPr>
          <w:trHeight w:val="609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lastRenderedPageBreak/>
              <w:t>Valuing Influence &amp; Collaboration</w:t>
            </w:r>
          </w:p>
        </w:tc>
        <w:tc>
          <w:tcPr>
            <w:tcW w:w="4741" w:type="dxa"/>
          </w:tcPr>
          <w:p w:rsidR="0090133B" w:rsidRPr="00B27605" w:rsidRDefault="00C443EA" w:rsidP="00970615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>Valuing feedback and collaboration.</w:t>
            </w:r>
            <w:r w:rsidRPr="00B27605">
              <w:rPr>
                <w:rFonts w:asciiTheme="minorHAnsi" w:hAnsiTheme="minorHAnsi"/>
              </w:rPr>
              <w:t xml:space="preserve"> 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>Helping your peers, and allowing them to help you to refine ideas a</w:t>
            </w:r>
            <w:r w:rsidR="00970615" w:rsidRPr="00B27605">
              <w:rPr>
                <w:rFonts w:asciiTheme="minorHAnsi" w:hAnsiTheme="minorHAnsi"/>
                <w:sz w:val="22"/>
                <w:szCs w:val="22"/>
              </w:rPr>
              <w:t>nd execute work of high quality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 xml:space="preserve">. Being aware of how your ideas have evolved in response to feedback and others’ work, and articulating it. </w:t>
            </w:r>
          </w:p>
        </w:tc>
        <w:tc>
          <w:tcPr>
            <w:tcW w:w="4741" w:type="dxa"/>
          </w:tcPr>
          <w:p w:rsidR="0090133B" w:rsidRDefault="0090133B" w:rsidP="0090133B"/>
          <w:p w:rsidR="00B27605" w:rsidRDefault="00B27605" w:rsidP="0090133B"/>
          <w:p w:rsidR="00B27605" w:rsidRDefault="00B27605" w:rsidP="0090133B"/>
          <w:p w:rsidR="00B27605" w:rsidRDefault="00B27605" w:rsidP="0090133B"/>
          <w:p w:rsidR="00B27605" w:rsidRDefault="00B27605" w:rsidP="0090133B"/>
          <w:p w:rsidR="00B27605" w:rsidRDefault="00B27605" w:rsidP="0090133B"/>
          <w:p w:rsidR="00B27605" w:rsidRPr="00B27605" w:rsidRDefault="00B27605" w:rsidP="0090133B"/>
        </w:tc>
      </w:tr>
      <w:tr w:rsidR="0090133B" w:rsidRPr="00B27605" w:rsidTr="0090133B">
        <w:trPr>
          <w:trHeight w:val="609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t>Play As Process</w:t>
            </w:r>
          </w:p>
        </w:tc>
        <w:tc>
          <w:tcPr>
            <w:tcW w:w="4741" w:type="dxa"/>
          </w:tcPr>
          <w:p w:rsidR="0090133B" w:rsidRPr="00B27605" w:rsidRDefault="00C443EA" w:rsidP="00C443EA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 xml:space="preserve">Engaging in play with an intense focus, and valuing the resulting creative processes and products. Articulating why play is important, and comprehending the thinking involved. </w:t>
            </w:r>
          </w:p>
        </w:tc>
        <w:tc>
          <w:tcPr>
            <w:tcW w:w="4741" w:type="dxa"/>
          </w:tcPr>
          <w:p w:rsidR="0090133B" w:rsidRDefault="0090133B" w:rsidP="0090133B"/>
          <w:p w:rsidR="00B27605" w:rsidRDefault="00B27605" w:rsidP="0090133B"/>
          <w:p w:rsidR="00B27605" w:rsidRDefault="00B27605" w:rsidP="0090133B"/>
          <w:p w:rsidR="00B27605" w:rsidRDefault="00B27605" w:rsidP="0090133B"/>
          <w:p w:rsidR="00B27605" w:rsidRPr="00B27605" w:rsidRDefault="00B27605" w:rsidP="0090133B"/>
        </w:tc>
      </w:tr>
      <w:tr w:rsidR="0090133B" w:rsidRPr="00B27605" w:rsidTr="0090133B">
        <w:trPr>
          <w:trHeight w:val="555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t>Experimental Execution</w:t>
            </w:r>
          </w:p>
        </w:tc>
        <w:tc>
          <w:tcPr>
            <w:tcW w:w="4741" w:type="dxa"/>
          </w:tcPr>
          <w:p w:rsidR="0090133B" w:rsidRPr="00B27605" w:rsidRDefault="00C443EA" w:rsidP="00970615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 xml:space="preserve">Exploring and challenging ways to fulfill </w:t>
            </w:r>
            <w:r w:rsidR="00970615" w:rsidRPr="00B27605">
              <w:rPr>
                <w:rFonts w:asciiTheme="minorHAnsi" w:hAnsiTheme="minorHAnsi"/>
                <w:sz w:val="22"/>
                <w:szCs w:val="22"/>
              </w:rPr>
              <w:t>project requirements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70615" w:rsidRPr="00B27605">
              <w:rPr>
                <w:rFonts w:asciiTheme="minorHAnsi" w:hAnsiTheme="minorHAnsi"/>
                <w:sz w:val="22"/>
                <w:szCs w:val="22"/>
              </w:rPr>
              <w:t>D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 xml:space="preserve">emonstrating understanding </w:t>
            </w:r>
            <w:r w:rsidR="00970615" w:rsidRPr="00B27605">
              <w:rPr>
                <w:rFonts w:asciiTheme="minorHAnsi" w:hAnsiTheme="minorHAnsi"/>
                <w:sz w:val="22"/>
                <w:szCs w:val="22"/>
              </w:rPr>
              <w:t>using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 xml:space="preserve"> various </w:t>
            </w:r>
            <w:r w:rsidR="00970615" w:rsidRPr="00B27605">
              <w:rPr>
                <w:rFonts w:asciiTheme="minorHAnsi" w:hAnsiTheme="minorHAnsi"/>
                <w:sz w:val="22"/>
                <w:szCs w:val="22"/>
              </w:rPr>
              <w:t>materials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 xml:space="preserve">, and experimenting with a variety of media when pursuing a project. Driving your own exploration of new media, seeking out mentors and guidance for technical support. </w:t>
            </w:r>
          </w:p>
        </w:tc>
        <w:tc>
          <w:tcPr>
            <w:tcW w:w="4741" w:type="dxa"/>
          </w:tcPr>
          <w:p w:rsidR="0090133B" w:rsidRDefault="0090133B" w:rsidP="0090133B"/>
          <w:p w:rsidR="00B27605" w:rsidRDefault="00B27605" w:rsidP="0090133B"/>
          <w:p w:rsidR="00B27605" w:rsidRDefault="00B27605" w:rsidP="0090133B"/>
          <w:p w:rsidR="00B27605" w:rsidRDefault="00B27605" w:rsidP="0090133B"/>
          <w:p w:rsidR="00B27605" w:rsidRDefault="00B27605" w:rsidP="0090133B"/>
          <w:p w:rsidR="00B27605" w:rsidRDefault="00B27605" w:rsidP="0090133B"/>
          <w:p w:rsidR="00B27605" w:rsidRPr="00B27605" w:rsidRDefault="00B27605" w:rsidP="0090133B"/>
        </w:tc>
      </w:tr>
      <w:tr w:rsidR="0090133B" w:rsidRPr="00B27605" w:rsidTr="0090133B">
        <w:trPr>
          <w:trHeight w:val="609"/>
        </w:trPr>
        <w:tc>
          <w:tcPr>
            <w:tcW w:w="4741" w:type="dxa"/>
          </w:tcPr>
          <w:p w:rsidR="0090133B" w:rsidRPr="00B27605" w:rsidRDefault="0090133B" w:rsidP="0090133B">
            <w:pPr>
              <w:jc w:val="both"/>
            </w:pPr>
            <w:r w:rsidRPr="00B27605">
              <w:t>Idea Generation &amp; Imagination</w:t>
            </w:r>
          </w:p>
        </w:tc>
        <w:tc>
          <w:tcPr>
            <w:tcW w:w="4741" w:type="dxa"/>
          </w:tcPr>
          <w:p w:rsidR="00970615" w:rsidRPr="00B27605" w:rsidRDefault="00970615" w:rsidP="00970615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B27605">
              <w:rPr>
                <w:rFonts w:asciiTheme="minorHAnsi" w:hAnsiTheme="minorHAnsi"/>
                <w:sz w:val="22"/>
                <w:szCs w:val="22"/>
              </w:rPr>
              <w:t xml:space="preserve">Generating many ideas, elaborating on those ideas, being flexible in changing and moving on from ideas, and seeking out original solutions. Applying </w:t>
            </w:r>
            <w:r w:rsidR="00C443EA" w:rsidRPr="00B27605">
              <w:rPr>
                <w:rFonts w:asciiTheme="minorHAnsi" w:hAnsiTheme="minorHAnsi"/>
                <w:sz w:val="22"/>
                <w:szCs w:val="22"/>
              </w:rPr>
              <w:t xml:space="preserve">critical thinking skills to evaluate their ideas, and are flexible in choosing and adapting them. </w:t>
            </w:r>
            <w:r w:rsidRPr="00B27605">
              <w:rPr>
                <w:rFonts w:asciiTheme="minorHAnsi" w:hAnsiTheme="minorHAnsi"/>
                <w:sz w:val="22"/>
                <w:szCs w:val="22"/>
              </w:rPr>
              <w:t>Borrowing and improvising ideas from other sources and generating original ones.</w:t>
            </w:r>
            <w:r w:rsidR="00C443EA" w:rsidRPr="00B276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41" w:type="dxa"/>
          </w:tcPr>
          <w:p w:rsidR="0090133B" w:rsidRPr="00B27605" w:rsidRDefault="0090133B" w:rsidP="0090133B"/>
        </w:tc>
      </w:tr>
    </w:tbl>
    <w:p w:rsidR="00C458B6" w:rsidRPr="00B27605" w:rsidRDefault="00C458B6" w:rsidP="0090133B">
      <w:pPr>
        <w:tabs>
          <w:tab w:val="left" w:pos="1573"/>
        </w:tabs>
      </w:pPr>
    </w:p>
    <w:sectPr w:rsidR="00C458B6" w:rsidRPr="00B27605" w:rsidSect="00901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B5" w:rsidRDefault="00E853B5" w:rsidP="00E853B5">
      <w:r>
        <w:separator/>
      </w:r>
    </w:p>
  </w:endnote>
  <w:endnote w:type="continuationSeparator" w:id="0">
    <w:p w:rsidR="00E853B5" w:rsidRDefault="00E853B5" w:rsidP="00E8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87" w:rsidRDefault="00B43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EA" w:rsidRDefault="00E853B5" w:rsidP="009C03EA">
    <w:pPr>
      <w:jc w:val="center"/>
      <w:rPr>
        <w:sz w:val="20"/>
        <w:szCs w:val="20"/>
      </w:rPr>
    </w:pPr>
    <w:r>
      <w:rPr>
        <w:sz w:val="20"/>
        <w:szCs w:val="20"/>
      </w:rPr>
      <w:t>Making Creativity Visible is an initiative of the Columbus Museum of Art, funded by the Institute of Museum and Library Services.</w:t>
    </w:r>
    <w:r w:rsidR="009C03EA">
      <w:rPr>
        <w:rFonts w:ascii="Calibri" w:hAnsi="Calibri"/>
        <w:sz w:val="20"/>
        <w:szCs w:val="20"/>
      </w:rPr>
      <w:t xml:space="preserve"> </w:t>
    </w:r>
    <w:r>
      <w:rPr>
        <w:sz w:val="20"/>
        <w:szCs w:val="20"/>
      </w:rPr>
      <w:t>This tool was developed by Marcella Cua, high school art teacher and Core Teacher advisor for Making Creativity Visible, based on CMA’s Thinking Like an Artist framework</w:t>
    </w:r>
    <w:r w:rsidR="009C03EA">
      <w:rPr>
        <w:sz w:val="20"/>
        <w:szCs w:val="20"/>
      </w:rPr>
      <w:t>.</w:t>
    </w:r>
  </w:p>
  <w:p w:rsidR="009C03EA" w:rsidRPr="009C03EA" w:rsidRDefault="009C03EA" w:rsidP="009C03EA">
    <w:pPr>
      <w:jc w:val="center"/>
      <w:rPr>
        <w:rFonts w:ascii="Calibri" w:hAnsi="Calibri"/>
        <w:sz w:val="20"/>
        <w:szCs w:val="20"/>
      </w:rPr>
    </w:pPr>
  </w:p>
  <w:p w:rsidR="00E853B5" w:rsidRPr="00E853B5" w:rsidRDefault="00B43D87" w:rsidP="00B43D87">
    <w:pPr>
      <w:rPr>
        <w:rFonts w:ascii="Times New Roman" w:hAnsi="Times New Roman"/>
      </w:rPr>
    </w:pPr>
    <w:r>
      <w:rPr>
        <w:noProof/>
      </w:rPr>
      <w:drawing>
        <wp:inline distT="0" distB="0" distL="0" distR="0" wp14:anchorId="7EC82E34" wp14:editId="2DCE53E2">
          <wp:extent cx="1495425" cy="196850"/>
          <wp:effectExtent l="0" t="0" r="9525" b="0"/>
          <wp:docPr id="1" name="Picture 1" descr="C:\Users\Jennifer.Lehe\Desktop\CMA New Brand Logos CS5 version 2015\Black\JPG\CMA-LogoSmallHoriz-1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ennifer.Lehe\Desktop\CMA New Brand Logos CS5 version 2015\Black\JPG\CMA-LogoSmallHoriz-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87" w:rsidRDefault="00B43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B5" w:rsidRDefault="00E853B5" w:rsidP="00E853B5">
      <w:r>
        <w:separator/>
      </w:r>
    </w:p>
  </w:footnote>
  <w:footnote w:type="continuationSeparator" w:id="0">
    <w:p w:rsidR="00E853B5" w:rsidRDefault="00E853B5" w:rsidP="00E8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87" w:rsidRDefault="00B43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B5" w:rsidRDefault="00E853B5">
    <w:pPr>
      <w:pStyle w:val="Header"/>
    </w:pPr>
  </w:p>
  <w:p w:rsidR="00E853B5" w:rsidRDefault="00E85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87" w:rsidRDefault="00B43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3B"/>
    <w:rsid w:val="00452400"/>
    <w:rsid w:val="0090133B"/>
    <w:rsid w:val="00970615"/>
    <w:rsid w:val="009C03EA"/>
    <w:rsid w:val="00B1584D"/>
    <w:rsid w:val="00B27605"/>
    <w:rsid w:val="00B42125"/>
    <w:rsid w:val="00B43D87"/>
    <w:rsid w:val="00C443EA"/>
    <w:rsid w:val="00C458B6"/>
    <w:rsid w:val="00C67B5B"/>
    <w:rsid w:val="00E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CAC013E-253C-4448-8F60-F81EDCBA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13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B5"/>
  </w:style>
  <w:style w:type="paragraph" w:styleId="Footer">
    <w:name w:val="footer"/>
    <w:basedOn w:val="Normal"/>
    <w:link w:val="FooterChar"/>
    <w:uiPriority w:val="99"/>
    <w:unhideWhenUsed/>
    <w:rsid w:val="00E85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B5"/>
  </w:style>
  <w:style w:type="character" w:styleId="Hyperlink">
    <w:name w:val="Hyperlink"/>
    <w:basedOn w:val="DefaultParagraphFont"/>
    <w:uiPriority w:val="99"/>
    <w:semiHidden/>
    <w:unhideWhenUsed/>
    <w:rsid w:val="00E85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499AF-8882-464C-BA89-79D10B41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Cua</dc:creator>
  <cp:keywords/>
  <dc:description/>
  <cp:lastModifiedBy>Maddie Armitage</cp:lastModifiedBy>
  <cp:revision>8</cp:revision>
  <dcterms:created xsi:type="dcterms:W3CDTF">2016-10-06T16:12:00Z</dcterms:created>
  <dcterms:modified xsi:type="dcterms:W3CDTF">2017-01-24T15:19:00Z</dcterms:modified>
</cp:coreProperties>
</file>